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1F4" w:rsidRDefault="00284C55" w:rsidP="00284C55">
      <w:pPr>
        <w:jc w:val="center"/>
        <w:rPr>
          <w:sz w:val="24"/>
          <w:szCs w:val="24"/>
        </w:rPr>
      </w:pPr>
      <w:r w:rsidRPr="00284C55">
        <w:rPr>
          <w:sz w:val="24"/>
          <w:szCs w:val="24"/>
        </w:rPr>
        <w:t xml:space="preserve">Field Procedure for the Ephemeral Drainage Line </w:t>
      </w:r>
      <w:r>
        <w:rPr>
          <w:sz w:val="24"/>
          <w:szCs w:val="24"/>
        </w:rPr>
        <w:t xml:space="preserve">(EDL) </w:t>
      </w:r>
      <w:r w:rsidRPr="00284C55">
        <w:rPr>
          <w:sz w:val="24"/>
          <w:szCs w:val="24"/>
        </w:rPr>
        <w:t>monitoring method</w:t>
      </w:r>
    </w:p>
    <w:p w:rsidR="00284C55" w:rsidRDefault="00284C55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Be aware of the size of the EDL: long creek lines could use GPS locations to map changes in stream function; intermediate length EDLs could use a measuring wheel if the terrain permits; rills or gullies on constructed land forms might need a 50 or 100-m tape.  As repeated measurements might be planned, this aspect is important to get right for comparative purposes.</w:t>
      </w:r>
      <w:r w:rsidR="000135C8">
        <w:rPr>
          <w:sz w:val="24"/>
          <w:szCs w:val="24"/>
        </w:rPr>
        <w:t xml:space="preserve"> If high quality remote sensing is available in the field, the EDL data could be entered directly</w:t>
      </w:r>
    </w:p>
    <w:p w:rsidR="00284C55" w:rsidRDefault="00284C55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always start at an appropriate upslope or up-stream position and work down-stream.</w:t>
      </w:r>
    </w:p>
    <w:p w:rsidR="00284C55" w:rsidRDefault="00284C55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Zones of stream damage may not extend far down stream before adequate function is resumed.  Some damage may be virtual “point-source” objects.</w:t>
      </w:r>
    </w:p>
    <w:p w:rsidR="00284C55" w:rsidRDefault="00284C55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Both banks of the EDL are assessed.</w:t>
      </w:r>
      <w:r w:rsidR="00B65827">
        <w:rPr>
          <w:sz w:val="24"/>
          <w:szCs w:val="24"/>
        </w:rPr>
        <w:t xml:space="preserve">  Some banks are the same on either side </w:t>
      </w:r>
      <w:proofErr w:type="gramStart"/>
      <w:r w:rsidR="00B65827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 the</w:t>
      </w:r>
      <w:proofErr w:type="gramEnd"/>
      <w:r>
        <w:rPr>
          <w:sz w:val="24"/>
          <w:szCs w:val="24"/>
        </w:rPr>
        <w:t xml:space="preserve"> stream, some are quite different.  The data should be kept separate and not be averaged.</w:t>
      </w:r>
    </w:p>
    <w:p w:rsidR="00284C55" w:rsidRDefault="00284C55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Tortuosity is not normally measured</w:t>
      </w:r>
      <w:r w:rsidR="000135C8">
        <w:rPr>
          <w:sz w:val="24"/>
          <w:szCs w:val="24"/>
        </w:rPr>
        <w:t>, as imagery usually provides this.  However, if the tortuosity is not visible from remote sensing, it could be recorded using a compass and tape on a separate data sheet.</w:t>
      </w:r>
    </w:p>
    <w:p w:rsidR="000135C8" w:rsidRDefault="000135C8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Assess each indicator at the start point using distance = zero.  Traverse the EDL whilst observing the set of indicators.  When a change occurs, mark this location and record the indicator values for the altered state.  Sometimes one bank state will remain the same but the other one changes.  I use the convention of assigning left and right hand banks when looking down-stream.</w:t>
      </w:r>
    </w:p>
    <w:p w:rsidR="000135C8" w:rsidRDefault="000135C8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index of EDL function is the simple addition of each of the indicators</w:t>
      </w:r>
      <w:r w:rsidR="003D1178">
        <w:rPr>
          <w:sz w:val="24"/>
          <w:szCs w:val="24"/>
        </w:rPr>
        <w:t>.</w:t>
      </w:r>
      <w:r w:rsidR="00B65827">
        <w:rPr>
          <w:sz w:val="24"/>
          <w:szCs w:val="24"/>
        </w:rPr>
        <w:t xml:space="preserve">  There are five classes</w:t>
      </w:r>
      <w:bookmarkStart w:id="0" w:name="_GoBack"/>
      <w:bookmarkEnd w:id="0"/>
    </w:p>
    <w:p w:rsidR="00B65827" w:rsidRPr="00284C55" w:rsidRDefault="00B65827" w:rsidP="000135C8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 mapping the data onto a photo, different colours can be used for each index class</w:t>
      </w:r>
    </w:p>
    <w:sectPr w:rsidR="00B65827" w:rsidRPr="00284C55" w:rsidSect="00284C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50A6"/>
    <w:multiLevelType w:val="hybridMultilevel"/>
    <w:tmpl w:val="499C57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55"/>
    <w:rsid w:val="000135C8"/>
    <w:rsid w:val="002611F4"/>
    <w:rsid w:val="00284C55"/>
    <w:rsid w:val="003D1178"/>
    <w:rsid w:val="00B6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3922F2-BAA1-4955-878C-BCFD99F92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C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2</cp:revision>
  <dcterms:created xsi:type="dcterms:W3CDTF">2016-08-18T03:08:00Z</dcterms:created>
  <dcterms:modified xsi:type="dcterms:W3CDTF">2016-08-18T03:32:00Z</dcterms:modified>
</cp:coreProperties>
</file>